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E8" w:rsidRPr="00EF5639" w:rsidRDefault="006E30BA" w:rsidP="00EF5639">
      <w:pPr>
        <w:spacing w:after="0" w:line="240" w:lineRule="auto"/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EF5639">
        <w:rPr>
          <w:rFonts w:ascii="Arial Black" w:hAnsi="Arial Black" w:cs="Arial Black"/>
          <w:sz w:val="32"/>
          <w:szCs w:val="32"/>
        </w:rPr>
        <w:tab/>
      </w:r>
      <w:r w:rsidR="00EF5639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A7089F" w:rsidRDefault="00A7089F" w:rsidP="00A7089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3"/>
          <w:szCs w:val="23"/>
          <w:lang w:eastAsia="ru-RU"/>
        </w:rPr>
      </w:pPr>
    </w:p>
    <w:p w:rsidR="000D6A5F" w:rsidRDefault="000D6A5F" w:rsidP="00A7089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lang w:eastAsia="ru-RU"/>
        </w:rPr>
      </w:pPr>
    </w:p>
    <w:p w:rsidR="00BE5492" w:rsidRPr="00012C0E" w:rsidRDefault="00012C0E" w:rsidP="0002302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012C0E">
        <w:rPr>
          <w:rFonts w:ascii="Segoe UI" w:hAnsi="Segoe UI" w:cs="Segoe UI"/>
          <w:sz w:val="32"/>
          <w:szCs w:val="32"/>
        </w:rPr>
        <w:t xml:space="preserve">Судебную практику по делам с участием тверского </w:t>
      </w:r>
      <w:proofErr w:type="spellStart"/>
      <w:r w:rsidRPr="00012C0E">
        <w:rPr>
          <w:rFonts w:ascii="Segoe UI" w:hAnsi="Segoe UI" w:cs="Segoe UI"/>
          <w:sz w:val="32"/>
          <w:szCs w:val="32"/>
        </w:rPr>
        <w:t>Росреестра</w:t>
      </w:r>
      <w:proofErr w:type="spellEnd"/>
      <w:r w:rsidRPr="00012C0E">
        <w:rPr>
          <w:rFonts w:ascii="Segoe UI" w:hAnsi="Segoe UI" w:cs="Segoe UI"/>
          <w:sz w:val="32"/>
          <w:szCs w:val="32"/>
        </w:rPr>
        <w:t xml:space="preserve"> обсудили на заседании Общественного совета</w:t>
      </w:r>
    </w:p>
    <w:p w:rsidR="00537140" w:rsidRDefault="00BE5492" w:rsidP="000B3E55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BE5492">
        <w:rPr>
          <w:rFonts w:ascii="Segoe UI" w:hAnsi="Segoe UI" w:cs="Segoe UI"/>
        </w:rPr>
        <w:br/>
        <w:t xml:space="preserve">10 декабря состоялось заседание Общественного совета при Управлении </w:t>
      </w:r>
      <w:proofErr w:type="spellStart"/>
      <w:r w:rsidRPr="00BE5492">
        <w:rPr>
          <w:rFonts w:ascii="Segoe UI" w:hAnsi="Segoe UI" w:cs="Segoe UI"/>
        </w:rPr>
        <w:t>Росреестра</w:t>
      </w:r>
      <w:proofErr w:type="spellEnd"/>
      <w:r w:rsidRPr="00BE5492">
        <w:rPr>
          <w:rFonts w:ascii="Segoe UI" w:hAnsi="Segoe UI" w:cs="Segoe UI"/>
        </w:rPr>
        <w:t xml:space="preserve"> по Тверской области. Мероприятие, организованное в формате видеоконференцсвязи, открыл </w:t>
      </w:r>
      <w:r w:rsidR="00913255">
        <w:rPr>
          <w:rFonts w:ascii="Segoe UI" w:hAnsi="Segoe UI" w:cs="Segoe UI"/>
        </w:rPr>
        <w:t>заместитель</w:t>
      </w:r>
      <w:bookmarkStart w:id="0" w:name="_GoBack"/>
      <w:bookmarkEnd w:id="0"/>
      <w:r>
        <w:rPr>
          <w:rFonts w:ascii="Segoe UI" w:hAnsi="Segoe UI" w:cs="Segoe UI"/>
        </w:rPr>
        <w:t xml:space="preserve"> председателя</w:t>
      </w:r>
      <w:r w:rsidRPr="00BE5492">
        <w:rPr>
          <w:rFonts w:ascii="Segoe UI" w:hAnsi="Segoe UI" w:cs="Segoe UI"/>
        </w:rPr>
        <w:t xml:space="preserve"> Общественного совета, </w:t>
      </w:r>
      <w:r>
        <w:rPr>
          <w:rFonts w:ascii="Segoe UI" w:hAnsi="Segoe UI" w:cs="Segoe UI"/>
        </w:rPr>
        <w:t>генеральный директор Ассоциации саморегулируемой организации "Тверское объедине</w:t>
      </w:r>
      <w:r w:rsidR="005D21E1">
        <w:rPr>
          <w:rFonts w:ascii="Segoe UI" w:hAnsi="Segoe UI" w:cs="Segoe UI"/>
        </w:rPr>
        <w:t xml:space="preserve">ние строителей" Юрий </w:t>
      </w:r>
      <w:proofErr w:type="spellStart"/>
      <w:r w:rsidR="005D21E1">
        <w:rPr>
          <w:rFonts w:ascii="Segoe UI" w:hAnsi="Segoe UI" w:cs="Segoe UI"/>
        </w:rPr>
        <w:t>Серковский</w:t>
      </w:r>
      <w:proofErr w:type="spellEnd"/>
      <w:r w:rsidR="005D21E1">
        <w:rPr>
          <w:rFonts w:ascii="Segoe UI" w:hAnsi="Segoe UI" w:cs="Segoe UI"/>
        </w:rPr>
        <w:t>.</w:t>
      </w:r>
      <w:r w:rsidR="005C2F66">
        <w:rPr>
          <w:rFonts w:ascii="Segoe UI" w:hAnsi="Segoe UI" w:cs="Segoe UI"/>
        </w:rPr>
        <w:t xml:space="preserve"> После его выступления </w:t>
      </w:r>
      <w:r w:rsidR="00096A0C">
        <w:rPr>
          <w:rFonts w:ascii="Segoe UI" w:hAnsi="Segoe UI" w:cs="Segoe UI"/>
        </w:rPr>
        <w:t>слово взял</w:t>
      </w:r>
      <w:r w:rsidR="005C2F66">
        <w:rPr>
          <w:rFonts w:ascii="Segoe UI" w:hAnsi="Segoe UI" w:cs="Segoe UI"/>
        </w:rPr>
        <w:t xml:space="preserve"> руководитель Управления </w:t>
      </w:r>
      <w:proofErr w:type="spellStart"/>
      <w:r w:rsidR="005C2F66">
        <w:rPr>
          <w:rFonts w:ascii="Segoe UI" w:hAnsi="Segoe UI" w:cs="Segoe UI"/>
        </w:rPr>
        <w:t>Росреестра</w:t>
      </w:r>
      <w:proofErr w:type="spellEnd"/>
      <w:r w:rsidR="005C2F66">
        <w:rPr>
          <w:rFonts w:ascii="Segoe UI" w:hAnsi="Segoe UI" w:cs="Segoe UI"/>
        </w:rPr>
        <w:t xml:space="preserve"> по Тверской об</w:t>
      </w:r>
      <w:r w:rsidR="00096A0C">
        <w:rPr>
          <w:rFonts w:ascii="Segoe UI" w:hAnsi="Segoe UI" w:cs="Segoe UI"/>
        </w:rPr>
        <w:t>ласти Николай Фролов</w:t>
      </w:r>
      <w:r w:rsidR="00583B3B">
        <w:rPr>
          <w:rFonts w:ascii="Segoe UI" w:hAnsi="Segoe UI" w:cs="Segoe UI"/>
        </w:rPr>
        <w:t>.</w:t>
      </w:r>
      <w:r w:rsidR="00096A0C">
        <w:rPr>
          <w:rFonts w:ascii="Segoe UI" w:hAnsi="Segoe UI" w:cs="Segoe UI"/>
        </w:rPr>
        <w:t xml:space="preserve"> </w:t>
      </w:r>
      <w:r w:rsidR="00583B3B">
        <w:rPr>
          <w:rFonts w:ascii="Segoe UI" w:hAnsi="Segoe UI" w:cs="Segoe UI"/>
        </w:rPr>
        <w:t>Он</w:t>
      </w:r>
      <w:r w:rsidR="005C2F66">
        <w:rPr>
          <w:rFonts w:ascii="Segoe UI" w:hAnsi="Segoe UI" w:cs="Segoe UI"/>
        </w:rPr>
        <w:t xml:space="preserve"> поздравил </w:t>
      </w:r>
      <w:r w:rsidR="00096A0C">
        <w:rPr>
          <w:rFonts w:ascii="Segoe UI" w:hAnsi="Segoe UI" w:cs="Segoe UI"/>
        </w:rPr>
        <w:t xml:space="preserve">одного из членов Общественного совета, генерального директора </w:t>
      </w:r>
      <w:r w:rsidR="00537140">
        <w:rPr>
          <w:rFonts w:ascii="Segoe UI" w:hAnsi="Segoe UI" w:cs="Segoe UI"/>
        </w:rPr>
        <w:t xml:space="preserve">регионального информационного агентства </w:t>
      </w:r>
      <w:r w:rsidR="00096A0C">
        <w:rPr>
          <w:rFonts w:ascii="Segoe UI" w:hAnsi="Segoe UI" w:cs="Segoe UI"/>
        </w:rPr>
        <w:t>"</w:t>
      </w:r>
      <w:proofErr w:type="spellStart"/>
      <w:r w:rsidR="00096A0C">
        <w:rPr>
          <w:rFonts w:ascii="Segoe UI" w:hAnsi="Segoe UI" w:cs="Segoe UI"/>
        </w:rPr>
        <w:t>Верхневолжье</w:t>
      </w:r>
      <w:proofErr w:type="spellEnd"/>
      <w:r w:rsidR="00096A0C">
        <w:rPr>
          <w:rFonts w:ascii="Segoe UI" w:hAnsi="Segoe UI" w:cs="Segoe UI"/>
        </w:rPr>
        <w:t xml:space="preserve">" Александра Громова с </w:t>
      </w:r>
      <w:r w:rsidR="00583B3B">
        <w:rPr>
          <w:rFonts w:ascii="Segoe UI" w:hAnsi="Segoe UI" w:cs="Segoe UI"/>
        </w:rPr>
        <w:t xml:space="preserve">пятилетием </w:t>
      </w:r>
      <w:proofErr w:type="spellStart"/>
      <w:r w:rsidR="00583B3B">
        <w:rPr>
          <w:rFonts w:ascii="Segoe UI" w:hAnsi="Segoe UI" w:cs="Segoe UI"/>
        </w:rPr>
        <w:t>медиахолдинга</w:t>
      </w:r>
      <w:proofErr w:type="spellEnd"/>
      <w:r w:rsidR="00583B3B">
        <w:rPr>
          <w:rFonts w:ascii="Segoe UI" w:hAnsi="Segoe UI" w:cs="Segoe UI"/>
        </w:rPr>
        <w:t>, отметившего свой первый юбилей в конце ноября</w:t>
      </w:r>
      <w:r w:rsidR="00537140">
        <w:rPr>
          <w:rFonts w:ascii="Segoe UI" w:hAnsi="Segoe UI" w:cs="Segoe UI"/>
        </w:rPr>
        <w:t>.</w:t>
      </w:r>
    </w:p>
    <w:p w:rsidR="005D566C" w:rsidRDefault="00BE5492" w:rsidP="000B3E55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BE5492">
        <w:rPr>
          <w:rFonts w:ascii="Segoe UI" w:hAnsi="Segoe UI" w:cs="Segoe UI"/>
        </w:rPr>
        <w:br/>
      </w:r>
      <w:r w:rsidR="00583B3B">
        <w:rPr>
          <w:rFonts w:ascii="Segoe UI" w:hAnsi="Segoe UI" w:cs="Segoe UI"/>
        </w:rPr>
        <w:t>Далее в</w:t>
      </w:r>
      <w:r w:rsidRPr="00BE5492">
        <w:rPr>
          <w:rFonts w:ascii="Segoe UI" w:hAnsi="Segoe UI" w:cs="Segoe UI"/>
        </w:rPr>
        <w:t xml:space="preserve"> рамках </w:t>
      </w:r>
      <w:r>
        <w:rPr>
          <w:rFonts w:ascii="Segoe UI" w:hAnsi="Segoe UI" w:cs="Segoe UI"/>
        </w:rPr>
        <w:t>заседа</w:t>
      </w:r>
      <w:r w:rsidR="005C2F66">
        <w:rPr>
          <w:rFonts w:ascii="Segoe UI" w:hAnsi="Segoe UI" w:cs="Segoe UI"/>
        </w:rPr>
        <w:t>ния О</w:t>
      </w:r>
      <w:r>
        <w:rPr>
          <w:rFonts w:ascii="Segoe UI" w:hAnsi="Segoe UI" w:cs="Segoe UI"/>
        </w:rPr>
        <w:t xml:space="preserve">бщественного совета </w:t>
      </w:r>
      <w:r w:rsidRPr="00BE5492">
        <w:rPr>
          <w:rFonts w:ascii="Segoe UI" w:hAnsi="Segoe UI" w:cs="Segoe UI"/>
        </w:rPr>
        <w:t>было рассмотрено два основных</w:t>
      </w:r>
      <w:r>
        <w:rPr>
          <w:rFonts w:ascii="Segoe UI" w:hAnsi="Segoe UI" w:cs="Segoe UI"/>
        </w:rPr>
        <w:t xml:space="preserve"> вопроса. </w:t>
      </w:r>
      <w:r w:rsidR="005C2F66">
        <w:rPr>
          <w:rFonts w:ascii="Segoe UI" w:hAnsi="Segoe UI" w:cs="Segoe UI"/>
        </w:rPr>
        <w:t>Один</w:t>
      </w:r>
      <w:r>
        <w:rPr>
          <w:rFonts w:ascii="Segoe UI" w:hAnsi="Segoe UI" w:cs="Segoe UI"/>
        </w:rPr>
        <w:t xml:space="preserve"> из них касался судебной практики по делам с участием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>.</w:t>
      </w:r>
      <w:r w:rsidR="000B3E55" w:rsidRPr="000B3E55">
        <w:rPr>
          <w:sz w:val="28"/>
          <w:szCs w:val="28"/>
        </w:rPr>
        <w:t xml:space="preserve"> </w:t>
      </w:r>
      <w:r w:rsidR="000B3E55" w:rsidRPr="000B3E55">
        <w:rPr>
          <w:rFonts w:ascii="Segoe UI" w:hAnsi="Segoe UI" w:cs="Segoe UI"/>
        </w:rPr>
        <w:t>Вв</w:t>
      </w:r>
      <w:r w:rsidR="000B3E55">
        <w:rPr>
          <w:rFonts w:ascii="Segoe UI" w:hAnsi="Segoe UI" w:cs="Segoe UI"/>
        </w:rPr>
        <w:t xml:space="preserve">иду </w:t>
      </w:r>
      <w:r w:rsidR="000B3E55" w:rsidRPr="000B3E55">
        <w:rPr>
          <w:rFonts w:ascii="Segoe UI" w:hAnsi="Segoe UI" w:cs="Segoe UI"/>
        </w:rPr>
        <w:t xml:space="preserve"> </w:t>
      </w:r>
      <w:r w:rsidR="005D566C">
        <w:rPr>
          <w:rFonts w:ascii="Segoe UI" w:hAnsi="Segoe UI" w:cs="Segoe UI"/>
        </w:rPr>
        <w:t xml:space="preserve">множества функций, осуществляемых </w:t>
      </w:r>
      <w:proofErr w:type="spellStart"/>
      <w:r w:rsidR="000B3E55" w:rsidRPr="000B3E55">
        <w:rPr>
          <w:rFonts w:ascii="Segoe UI" w:hAnsi="Segoe UI" w:cs="Segoe UI"/>
        </w:rPr>
        <w:t>Росреестр</w:t>
      </w:r>
      <w:r w:rsidR="005D566C">
        <w:rPr>
          <w:rFonts w:ascii="Segoe UI" w:hAnsi="Segoe UI" w:cs="Segoe UI"/>
        </w:rPr>
        <w:t>ом</w:t>
      </w:r>
      <w:proofErr w:type="spellEnd"/>
      <w:r w:rsidR="005D566C">
        <w:rPr>
          <w:rFonts w:ascii="Segoe UI" w:hAnsi="Segoe UI" w:cs="Segoe UI"/>
        </w:rPr>
        <w:t xml:space="preserve"> и его территориальными</w:t>
      </w:r>
      <w:r w:rsidR="000B3E55" w:rsidRPr="000B3E55">
        <w:rPr>
          <w:rFonts w:ascii="Segoe UI" w:hAnsi="Segoe UI" w:cs="Segoe UI"/>
        </w:rPr>
        <w:t xml:space="preserve"> </w:t>
      </w:r>
      <w:r w:rsidR="005D566C">
        <w:rPr>
          <w:rFonts w:ascii="Segoe UI" w:hAnsi="Segoe UI" w:cs="Segoe UI"/>
        </w:rPr>
        <w:t>органами,</w:t>
      </w:r>
      <w:r w:rsidR="000B3E55" w:rsidRPr="000B3E55">
        <w:rPr>
          <w:rFonts w:ascii="Segoe UI" w:hAnsi="Segoe UI" w:cs="Segoe UI"/>
        </w:rPr>
        <w:t xml:space="preserve"> требования граждан и юридических лиц, которые  обращаются в суд за обжалованием принятых органом регистрации прав решений, разноплановые.</w:t>
      </w:r>
      <w:r w:rsidR="005D566C">
        <w:rPr>
          <w:rFonts w:ascii="Segoe UI" w:hAnsi="Segoe UI" w:cs="Segoe UI"/>
        </w:rPr>
        <w:t xml:space="preserve"> </w:t>
      </w:r>
    </w:p>
    <w:p w:rsidR="005D566C" w:rsidRDefault="005D566C" w:rsidP="005D566C">
      <w:pPr>
        <w:spacing w:after="0" w:line="240" w:lineRule="auto"/>
        <w:jc w:val="both"/>
        <w:rPr>
          <w:rFonts w:ascii="Segoe UI" w:hAnsi="Segoe UI" w:cs="Segoe UI"/>
        </w:rPr>
      </w:pPr>
    </w:p>
    <w:p w:rsidR="005D566C" w:rsidRDefault="000B3E55" w:rsidP="005D566C">
      <w:pPr>
        <w:spacing w:after="0" w:line="240" w:lineRule="auto"/>
        <w:jc w:val="both"/>
        <w:rPr>
          <w:rFonts w:ascii="Segoe UI" w:hAnsi="Segoe UI" w:cs="Segoe UI"/>
        </w:rPr>
      </w:pPr>
      <w:r w:rsidRPr="000B3E55">
        <w:rPr>
          <w:rFonts w:ascii="Segoe UI" w:hAnsi="Segoe UI" w:cs="Segoe UI"/>
        </w:rPr>
        <w:t xml:space="preserve">Общее </w:t>
      </w:r>
      <w:r w:rsidR="005D566C">
        <w:rPr>
          <w:rFonts w:ascii="Segoe UI" w:hAnsi="Segoe UI" w:cs="Segoe UI"/>
        </w:rPr>
        <w:t>число</w:t>
      </w:r>
      <w:r w:rsidRPr="000B3E55">
        <w:rPr>
          <w:rFonts w:ascii="Segoe UI" w:hAnsi="Segoe UI" w:cs="Segoe UI"/>
        </w:rPr>
        <w:t xml:space="preserve"> судебных дел с участием Управления </w:t>
      </w:r>
      <w:proofErr w:type="spellStart"/>
      <w:r w:rsidRPr="000B3E55">
        <w:rPr>
          <w:rFonts w:ascii="Segoe UI" w:hAnsi="Segoe UI" w:cs="Segoe UI"/>
        </w:rPr>
        <w:t>Росреестра</w:t>
      </w:r>
      <w:proofErr w:type="spellEnd"/>
      <w:r w:rsidRPr="000B3E55">
        <w:rPr>
          <w:rFonts w:ascii="Segoe UI" w:hAnsi="Segoe UI" w:cs="Segoe UI"/>
        </w:rPr>
        <w:t xml:space="preserve"> по Тверской области </w:t>
      </w:r>
      <w:r w:rsidR="005D566C">
        <w:rPr>
          <w:rFonts w:ascii="Segoe UI" w:hAnsi="Segoe UI" w:cs="Segoe UI"/>
        </w:rPr>
        <w:t xml:space="preserve">по состоянию на </w:t>
      </w:r>
      <w:r w:rsidRPr="000B3E55">
        <w:rPr>
          <w:rFonts w:ascii="Segoe UI" w:hAnsi="Segoe UI" w:cs="Segoe UI"/>
        </w:rPr>
        <w:t xml:space="preserve">1 декабря 2020 года </w:t>
      </w:r>
      <w:r w:rsidR="005D566C">
        <w:rPr>
          <w:rFonts w:ascii="Segoe UI" w:hAnsi="Segoe UI" w:cs="Segoe UI"/>
        </w:rPr>
        <w:t>составило</w:t>
      </w:r>
      <w:r w:rsidRPr="000B3E55">
        <w:rPr>
          <w:rFonts w:ascii="Segoe UI" w:hAnsi="Segoe UI" w:cs="Segoe UI"/>
        </w:rPr>
        <w:t xml:space="preserve"> 2185.</w:t>
      </w:r>
      <w:r w:rsidR="005D566C">
        <w:rPr>
          <w:rFonts w:ascii="Segoe UI" w:hAnsi="Segoe UI" w:cs="Segoe UI"/>
        </w:rPr>
        <w:t xml:space="preserve"> </w:t>
      </w:r>
      <w:r w:rsidRPr="000B3E55">
        <w:rPr>
          <w:rFonts w:ascii="Segoe UI" w:hAnsi="Segoe UI" w:cs="Segoe UI"/>
        </w:rPr>
        <w:t>Наибольшее количество судебных дел с участием Управления – это судебные споры, связанные с осуществлением государственного кадастрового учёта и государственной регистрацией прав. Практически по всем делам</w:t>
      </w:r>
      <w:r w:rsidR="005D566C">
        <w:rPr>
          <w:rFonts w:ascii="Segoe UI" w:hAnsi="Segoe UI" w:cs="Segoe UI"/>
        </w:rPr>
        <w:t>, касающим</w:t>
      </w:r>
      <w:r w:rsidRPr="000B3E55">
        <w:rPr>
          <w:rFonts w:ascii="Segoe UI" w:hAnsi="Segoe UI" w:cs="Segoe UI"/>
        </w:rPr>
        <w:t>ся объектов недвижимости</w:t>
      </w:r>
      <w:r w:rsidR="005D566C">
        <w:rPr>
          <w:rFonts w:ascii="Segoe UI" w:hAnsi="Segoe UI" w:cs="Segoe UI"/>
        </w:rPr>
        <w:t>,</w:t>
      </w:r>
      <w:r w:rsidRPr="000B3E55">
        <w:rPr>
          <w:rFonts w:ascii="Segoe UI" w:hAnsi="Segoe UI" w:cs="Segoe UI"/>
        </w:rPr>
        <w:t xml:space="preserve"> истцы или сам суд привлекает орган регистрации прав к участию.</w:t>
      </w:r>
    </w:p>
    <w:p w:rsidR="005D566C" w:rsidRDefault="005D566C" w:rsidP="005D566C">
      <w:pPr>
        <w:spacing w:after="0" w:line="240" w:lineRule="auto"/>
        <w:jc w:val="both"/>
        <w:rPr>
          <w:rFonts w:ascii="Segoe UI" w:hAnsi="Segoe UI" w:cs="Segoe UI"/>
        </w:rPr>
      </w:pPr>
    </w:p>
    <w:p w:rsidR="000B3E55" w:rsidRPr="000B3E55" w:rsidRDefault="000B3E55" w:rsidP="005D566C">
      <w:pPr>
        <w:spacing w:after="0" w:line="240" w:lineRule="auto"/>
        <w:jc w:val="both"/>
        <w:rPr>
          <w:rFonts w:ascii="Segoe UI" w:hAnsi="Segoe UI" w:cs="Segoe UI"/>
        </w:rPr>
      </w:pPr>
      <w:r w:rsidRPr="000B3E55">
        <w:rPr>
          <w:rFonts w:ascii="Segoe UI" w:hAnsi="Segoe UI" w:cs="Segoe UI"/>
        </w:rPr>
        <w:t>На конец текущего года в судебном порядке был</w:t>
      </w:r>
      <w:r w:rsidR="005D566C">
        <w:rPr>
          <w:rFonts w:ascii="Segoe UI" w:hAnsi="Segoe UI" w:cs="Segoe UI"/>
        </w:rPr>
        <w:t>о</w:t>
      </w:r>
      <w:r w:rsidRPr="000B3E55">
        <w:rPr>
          <w:rFonts w:ascii="Segoe UI" w:hAnsi="Segoe UI" w:cs="Segoe UI"/>
        </w:rPr>
        <w:t xml:space="preserve"> обжалован</w:t>
      </w:r>
      <w:r w:rsidR="005D566C">
        <w:rPr>
          <w:rFonts w:ascii="Segoe UI" w:hAnsi="Segoe UI" w:cs="Segoe UI"/>
        </w:rPr>
        <w:t>о</w:t>
      </w:r>
      <w:r w:rsidRPr="000B3E55">
        <w:rPr>
          <w:rFonts w:ascii="Segoe UI" w:hAnsi="Segoe UI" w:cs="Segoe UI"/>
        </w:rPr>
        <w:t xml:space="preserve"> всего 45</w:t>
      </w:r>
      <w:r w:rsidR="005D566C">
        <w:rPr>
          <w:rFonts w:ascii="Segoe UI" w:hAnsi="Segoe UI" w:cs="Segoe UI"/>
        </w:rPr>
        <w:t xml:space="preserve"> решений Управления</w:t>
      </w:r>
      <w:r w:rsidRPr="000B3E55">
        <w:rPr>
          <w:rFonts w:ascii="Segoe UI" w:hAnsi="Segoe UI" w:cs="Segoe UI"/>
        </w:rPr>
        <w:t>, в том числе:</w:t>
      </w:r>
    </w:p>
    <w:p w:rsidR="000B3E55" w:rsidRPr="000B3E55" w:rsidRDefault="000B3E55" w:rsidP="000B3E55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0B3E55">
        <w:rPr>
          <w:rFonts w:ascii="Segoe UI" w:hAnsi="Segoe UI" w:cs="Segoe UI"/>
        </w:rPr>
        <w:t>18 решений об отказе в осуществлении учётно-регистрационных действий,</w:t>
      </w:r>
    </w:p>
    <w:p w:rsidR="000B3E55" w:rsidRPr="000B3E55" w:rsidRDefault="000B3E55" w:rsidP="000B3E55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0B3E55">
        <w:rPr>
          <w:rFonts w:ascii="Segoe UI" w:hAnsi="Segoe UI" w:cs="Segoe UI"/>
        </w:rPr>
        <w:t>10 решений о приостановлении в осуществлении учётно-регистрационных действий,</w:t>
      </w:r>
    </w:p>
    <w:p w:rsidR="005D566C" w:rsidRDefault="000B3E55" w:rsidP="000B3E55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0B3E55">
        <w:rPr>
          <w:rFonts w:ascii="Segoe UI" w:hAnsi="Segoe UI" w:cs="Segoe UI"/>
        </w:rPr>
        <w:t>17 иных действи</w:t>
      </w:r>
      <w:r w:rsidR="005D566C">
        <w:rPr>
          <w:rFonts w:ascii="Segoe UI" w:hAnsi="Segoe UI" w:cs="Segoe UI"/>
        </w:rPr>
        <w:t>й</w:t>
      </w:r>
      <w:r w:rsidRPr="000B3E55">
        <w:rPr>
          <w:rFonts w:ascii="Segoe UI" w:hAnsi="Segoe UI" w:cs="Segoe UI"/>
        </w:rPr>
        <w:t xml:space="preserve"> (бездействия).</w:t>
      </w:r>
    </w:p>
    <w:p w:rsidR="005D566C" w:rsidRDefault="005D566C" w:rsidP="005D566C">
      <w:pPr>
        <w:spacing w:after="0" w:line="240" w:lineRule="auto"/>
        <w:jc w:val="both"/>
        <w:rPr>
          <w:rFonts w:ascii="Segoe UI" w:hAnsi="Segoe UI" w:cs="Segoe UI"/>
        </w:rPr>
      </w:pPr>
    </w:p>
    <w:p w:rsidR="005D21E1" w:rsidRPr="005D21E1" w:rsidRDefault="005D566C" w:rsidP="005D21E1">
      <w:pPr>
        <w:spacing w:after="0" w:line="240" w:lineRule="auto"/>
        <w:jc w:val="both"/>
        <w:rPr>
          <w:rFonts w:ascii="Segoe UI" w:hAnsi="Segoe UI" w:cs="Segoe UI"/>
        </w:rPr>
      </w:pPr>
      <w:r w:rsidRPr="005D21E1">
        <w:rPr>
          <w:rFonts w:ascii="Segoe UI" w:hAnsi="Segoe UI" w:cs="Segoe UI"/>
        </w:rPr>
        <w:t>При этом л</w:t>
      </w:r>
      <w:r w:rsidR="000B3E55" w:rsidRPr="005D21E1">
        <w:rPr>
          <w:rFonts w:ascii="Segoe UI" w:hAnsi="Segoe UI" w:cs="Segoe UI"/>
        </w:rPr>
        <w:t>ишь 3 решения не в пользу Управления вступили в законную силу, одно из них частично удовлетворено (</w:t>
      </w:r>
      <w:r w:rsidRPr="005D21E1">
        <w:rPr>
          <w:rFonts w:ascii="Segoe UI" w:hAnsi="Segoe UI" w:cs="Segoe UI"/>
        </w:rPr>
        <w:t>все</w:t>
      </w:r>
      <w:r w:rsidR="000B3E55" w:rsidRPr="005D21E1">
        <w:rPr>
          <w:rFonts w:ascii="Segoe UI" w:hAnsi="Segoe UI" w:cs="Segoe UI"/>
        </w:rPr>
        <w:t xml:space="preserve"> решения связан</w:t>
      </w:r>
      <w:r w:rsidRPr="005D21E1">
        <w:rPr>
          <w:rFonts w:ascii="Segoe UI" w:hAnsi="Segoe UI" w:cs="Segoe UI"/>
        </w:rPr>
        <w:t>ы</w:t>
      </w:r>
      <w:r w:rsidR="000B3E55" w:rsidRPr="005D21E1">
        <w:rPr>
          <w:rFonts w:ascii="Segoe UI" w:hAnsi="Segoe UI" w:cs="Segoe UI"/>
        </w:rPr>
        <w:t xml:space="preserve"> с осуществлением учётно-регистрационных действий). Но в этой части следует отметить, что </w:t>
      </w:r>
      <w:r w:rsidRPr="005D21E1">
        <w:rPr>
          <w:rFonts w:ascii="Segoe UI" w:hAnsi="Segoe UI" w:cs="Segoe UI"/>
        </w:rPr>
        <w:t xml:space="preserve">государственного регистратора </w:t>
      </w:r>
      <w:r w:rsidR="005C2F66" w:rsidRPr="005D21E1">
        <w:rPr>
          <w:rFonts w:ascii="Segoe UI" w:hAnsi="Segoe UI" w:cs="Segoe UI"/>
        </w:rPr>
        <w:t xml:space="preserve">принимать </w:t>
      </w:r>
      <w:r w:rsidRPr="005D21E1">
        <w:rPr>
          <w:rFonts w:ascii="Segoe UI" w:hAnsi="Segoe UI" w:cs="Segoe UI"/>
        </w:rPr>
        <w:t xml:space="preserve">решения об отказе в осуществлении государственной услуги вынуждает </w:t>
      </w:r>
      <w:proofErr w:type="spellStart"/>
      <w:r w:rsidR="000B3E55" w:rsidRPr="005D21E1">
        <w:rPr>
          <w:rFonts w:ascii="Segoe UI" w:hAnsi="Segoe UI" w:cs="Segoe UI"/>
        </w:rPr>
        <w:t>неурегулированность</w:t>
      </w:r>
      <w:proofErr w:type="spellEnd"/>
      <w:r w:rsidR="000B3E55" w:rsidRPr="005D21E1">
        <w:rPr>
          <w:rFonts w:ascii="Segoe UI" w:hAnsi="Segoe UI" w:cs="Segoe UI"/>
        </w:rPr>
        <w:t xml:space="preserve"> на законодательном уровне отдельных вопросов. Ведь в этом случае только суд вправе применять аналогию закона, а порой, и не применяя её, встать на сторону заявителя.</w:t>
      </w:r>
      <w:r w:rsidR="005D21E1" w:rsidRPr="005D21E1">
        <w:rPr>
          <w:rFonts w:ascii="Segoe UI" w:hAnsi="Segoe UI" w:cs="Segoe UI"/>
        </w:rPr>
        <w:t xml:space="preserve"> </w:t>
      </w:r>
    </w:p>
    <w:p w:rsidR="005D21E1" w:rsidRPr="005D21E1" w:rsidRDefault="00537140" w:rsidP="005D21E1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Н</w:t>
      </w:r>
      <w:r w:rsidR="005C2F66">
        <w:rPr>
          <w:rFonts w:ascii="Segoe UI" w:hAnsi="Segoe UI" w:cs="Segoe UI"/>
        </w:rPr>
        <w:t xml:space="preserve">а заседании </w:t>
      </w:r>
      <w:r w:rsidR="005D21E1" w:rsidRPr="005D21E1">
        <w:rPr>
          <w:rFonts w:ascii="Segoe UI" w:hAnsi="Segoe UI" w:cs="Segoe UI"/>
        </w:rPr>
        <w:t xml:space="preserve">были приведены конкретные примеры по отдельным делам с участием Управления </w:t>
      </w:r>
      <w:proofErr w:type="spellStart"/>
      <w:r w:rsidR="005D21E1" w:rsidRPr="005D21E1">
        <w:rPr>
          <w:rFonts w:ascii="Segoe UI" w:hAnsi="Segoe UI" w:cs="Segoe UI"/>
        </w:rPr>
        <w:t>Росреестра</w:t>
      </w:r>
      <w:proofErr w:type="spellEnd"/>
      <w:r w:rsidR="005D21E1" w:rsidRPr="005D21E1">
        <w:rPr>
          <w:rFonts w:ascii="Segoe UI" w:hAnsi="Segoe UI" w:cs="Segoe UI"/>
        </w:rPr>
        <w:t xml:space="preserve"> по Тверской области, связанным с осуществлением государственной регистрации прав и государственного кадастрового учёта, имеющих особый социальный интерес.</w:t>
      </w:r>
      <w:r w:rsidR="005C2F66">
        <w:rPr>
          <w:rFonts w:ascii="Segoe UI" w:hAnsi="Segoe UI" w:cs="Segoe UI"/>
        </w:rPr>
        <w:t xml:space="preserve"> Поднятая тема оказалась настолько важной, что члены Общественного совета приняли решение о вынесении </w:t>
      </w:r>
      <w:r w:rsidR="00012C0E">
        <w:rPr>
          <w:rFonts w:ascii="Segoe UI" w:hAnsi="Segoe UI" w:cs="Segoe UI"/>
        </w:rPr>
        <w:t>её</w:t>
      </w:r>
      <w:r w:rsidR="005C2F66">
        <w:rPr>
          <w:rFonts w:ascii="Segoe UI" w:hAnsi="Segoe UI" w:cs="Segoe UI"/>
        </w:rPr>
        <w:t xml:space="preserve"> на обсуждение Общественного совета при Министерстве имущественных и земельных отношений Тверской области.</w:t>
      </w:r>
    </w:p>
    <w:p w:rsidR="00396874" w:rsidRPr="0003071B" w:rsidRDefault="00BE5492" w:rsidP="005C2F66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D21E1">
        <w:rPr>
          <w:rFonts w:ascii="Segoe UI" w:hAnsi="Segoe UI" w:cs="Segoe UI"/>
        </w:rPr>
        <w:br/>
      </w:r>
      <w:r w:rsidR="00474416" w:rsidRPr="0047441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2C0E"/>
    <w:rsid w:val="000135F2"/>
    <w:rsid w:val="00014224"/>
    <w:rsid w:val="000211AD"/>
    <w:rsid w:val="00023021"/>
    <w:rsid w:val="00024330"/>
    <w:rsid w:val="00025F95"/>
    <w:rsid w:val="00026912"/>
    <w:rsid w:val="00027CD2"/>
    <w:rsid w:val="0003071B"/>
    <w:rsid w:val="00032BA1"/>
    <w:rsid w:val="00033AD2"/>
    <w:rsid w:val="00035B8F"/>
    <w:rsid w:val="00036BFB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47B7"/>
    <w:rsid w:val="00096A0C"/>
    <w:rsid w:val="0009799A"/>
    <w:rsid w:val="000A1CC4"/>
    <w:rsid w:val="000B3E55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6A5F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496"/>
    <w:rsid w:val="00110E2E"/>
    <w:rsid w:val="00111141"/>
    <w:rsid w:val="001111F7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8C7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A75FB"/>
    <w:rsid w:val="001B204E"/>
    <w:rsid w:val="001B51F8"/>
    <w:rsid w:val="001B6991"/>
    <w:rsid w:val="001C2307"/>
    <w:rsid w:val="001C4222"/>
    <w:rsid w:val="001C43CE"/>
    <w:rsid w:val="001D014C"/>
    <w:rsid w:val="001D114A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2810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24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3A9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1056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416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1D6E"/>
    <w:rsid w:val="004B750A"/>
    <w:rsid w:val="004B7804"/>
    <w:rsid w:val="004B7ED3"/>
    <w:rsid w:val="004C1A5B"/>
    <w:rsid w:val="004C4A2E"/>
    <w:rsid w:val="004C4A9F"/>
    <w:rsid w:val="004C5104"/>
    <w:rsid w:val="004D3BFD"/>
    <w:rsid w:val="004D4779"/>
    <w:rsid w:val="004D6C5C"/>
    <w:rsid w:val="004E11B2"/>
    <w:rsid w:val="004E5AC4"/>
    <w:rsid w:val="004F6AA9"/>
    <w:rsid w:val="0050647A"/>
    <w:rsid w:val="005066AC"/>
    <w:rsid w:val="00512E4C"/>
    <w:rsid w:val="005137AC"/>
    <w:rsid w:val="0051532B"/>
    <w:rsid w:val="00517695"/>
    <w:rsid w:val="0052016C"/>
    <w:rsid w:val="00520835"/>
    <w:rsid w:val="00520A05"/>
    <w:rsid w:val="00522592"/>
    <w:rsid w:val="00523E8B"/>
    <w:rsid w:val="005265C1"/>
    <w:rsid w:val="0052689F"/>
    <w:rsid w:val="00530C20"/>
    <w:rsid w:val="00531369"/>
    <w:rsid w:val="00531930"/>
    <w:rsid w:val="0053208C"/>
    <w:rsid w:val="005357B6"/>
    <w:rsid w:val="00536E62"/>
    <w:rsid w:val="00537140"/>
    <w:rsid w:val="00561635"/>
    <w:rsid w:val="005658F7"/>
    <w:rsid w:val="00567DDC"/>
    <w:rsid w:val="0057058F"/>
    <w:rsid w:val="00571B3F"/>
    <w:rsid w:val="00573635"/>
    <w:rsid w:val="00573E5A"/>
    <w:rsid w:val="0057694D"/>
    <w:rsid w:val="00577F27"/>
    <w:rsid w:val="00580F54"/>
    <w:rsid w:val="00581372"/>
    <w:rsid w:val="0058332D"/>
    <w:rsid w:val="0058334F"/>
    <w:rsid w:val="00583B3B"/>
    <w:rsid w:val="00584E3A"/>
    <w:rsid w:val="005935DA"/>
    <w:rsid w:val="005953EB"/>
    <w:rsid w:val="005954C2"/>
    <w:rsid w:val="005960EB"/>
    <w:rsid w:val="00597C4A"/>
    <w:rsid w:val="005A15A1"/>
    <w:rsid w:val="005A335C"/>
    <w:rsid w:val="005A75D9"/>
    <w:rsid w:val="005A7647"/>
    <w:rsid w:val="005A7F52"/>
    <w:rsid w:val="005B13D7"/>
    <w:rsid w:val="005B2A8A"/>
    <w:rsid w:val="005B34F4"/>
    <w:rsid w:val="005B569B"/>
    <w:rsid w:val="005C2F66"/>
    <w:rsid w:val="005C6A16"/>
    <w:rsid w:val="005D0301"/>
    <w:rsid w:val="005D21E1"/>
    <w:rsid w:val="005D4A37"/>
    <w:rsid w:val="005D566C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3ACD"/>
    <w:rsid w:val="006F4FE9"/>
    <w:rsid w:val="006F708C"/>
    <w:rsid w:val="007029E8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16F5"/>
    <w:rsid w:val="008320A7"/>
    <w:rsid w:val="008367D3"/>
    <w:rsid w:val="0085066F"/>
    <w:rsid w:val="008518D2"/>
    <w:rsid w:val="008518D4"/>
    <w:rsid w:val="00852616"/>
    <w:rsid w:val="00857FC5"/>
    <w:rsid w:val="00862DD6"/>
    <w:rsid w:val="00866D4F"/>
    <w:rsid w:val="00870855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63B4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49CC"/>
    <w:rsid w:val="008E53E7"/>
    <w:rsid w:val="008F159E"/>
    <w:rsid w:val="008F3264"/>
    <w:rsid w:val="008F5BD5"/>
    <w:rsid w:val="008F5DA4"/>
    <w:rsid w:val="008F747C"/>
    <w:rsid w:val="00903596"/>
    <w:rsid w:val="00905A93"/>
    <w:rsid w:val="0091102E"/>
    <w:rsid w:val="00912BD8"/>
    <w:rsid w:val="00913255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45822"/>
    <w:rsid w:val="00953CB4"/>
    <w:rsid w:val="00955DEC"/>
    <w:rsid w:val="009565F9"/>
    <w:rsid w:val="009579ED"/>
    <w:rsid w:val="00961282"/>
    <w:rsid w:val="00964C15"/>
    <w:rsid w:val="00970D78"/>
    <w:rsid w:val="009730BE"/>
    <w:rsid w:val="0098228B"/>
    <w:rsid w:val="00994100"/>
    <w:rsid w:val="009957CE"/>
    <w:rsid w:val="009969F8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89F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B6B16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1115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3BBF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505"/>
    <w:rsid w:val="00BE004F"/>
    <w:rsid w:val="00BE3983"/>
    <w:rsid w:val="00BE5492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5403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2EA8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666B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47D0A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639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33EA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1DB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9F245-8D11-45D0-B51E-5EC8511F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2020-11-26T14:20:00Z</cp:lastPrinted>
  <dcterms:created xsi:type="dcterms:W3CDTF">2020-12-14T05:44:00Z</dcterms:created>
  <dcterms:modified xsi:type="dcterms:W3CDTF">2020-12-14T05:44:00Z</dcterms:modified>
</cp:coreProperties>
</file>